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FBB9" w14:textId="77777777" w:rsidR="00A33FB3" w:rsidRPr="003C34A2" w:rsidRDefault="00A33FB3" w:rsidP="00A33FB3">
      <w:pPr>
        <w:widowControl w:val="0"/>
        <w:autoSpaceDE w:val="0"/>
        <w:autoSpaceDN w:val="0"/>
        <w:spacing w:before="2"/>
        <w:jc w:val="both"/>
        <w:rPr>
          <w:rFonts w:ascii="Source Sans Pro" w:hAnsi="Source Sans Pro" w:cs="Arial"/>
          <w:sz w:val="14"/>
          <w:szCs w:val="14"/>
          <w:lang w:val="fr-FR"/>
        </w:rPr>
      </w:pPr>
    </w:p>
    <w:p w14:paraId="277488A4" w14:textId="5AF2173D" w:rsidR="00D0755D" w:rsidRPr="00D0755D" w:rsidRDefault="00D0755D" w:rsidP="00D0755D">
      <w:pPr>
        <w:widowControl w:val="0"/>
        <w:autoSpaceDE w:val="0"/>
        <w:autoSpaceDN w:val="0"/>
        <w:spacing w:before="7"/>
        <w:jc w:val="center"/>
        <w:rPr>
          <w:rFonts w:ascii="Source Sans Pro" w:hAnsi="Source Sans Pro" w:cs="Times New Roman"/>
          <w:b/>
          <w:bCs/>
          <w:color w:val="000000"/>
          <w:sz w:val="28"/>
          <w:szCs w:val="28"/>
          <w:lang w:val="fr-FR" w:eastAsia="fr-FR"/>
        </w:rPr>
      </w:pPr>
      <w:bookmarkStart w:id="0" w:name="_Hlk183858888"/>
      <w:r w:rsidRPr="00D0755D">
        <w:rPr>
          <w:rFonts w:ascii="Source Sans Pro" w:hAnsi="Source Sans Pro" w:cs="Times New Roman"/>
          <w:b/>
          <w:bCs/>
          <w:color w:val="000000"/>
          <w:sz w:val="28"/>
          <w:szCs w:val="28"/>
          <w:lang w:val="fr-FR" w:eastAsia="fr-FR"/>
        </w:rPr>
        <w:t xml:space="preserve">LA CEDEAO </w:t>
      </w:r>
      <w:r>
        <w:rPr>
          <w:rFonts w:ascii="Source Sans Pro" w:hAnsi="Source Sans Pro" w:cs="Times New Roman"/>
          <w:b/>
          <w:bCs/>
          <w:color w:val="000000"/>
          <w:sz w:val="28"/>
          <w:szCs w:val="28"/>
          <w:lang w:val="fr-FR" w:eastAsia="fr-FR"/>
        </w:rPr>
        <w:t>PASSE EN REVUE</w:t>
      </w:r>
      <w:r w:rsidRPr="00D0755D">
        <w:rPr>
          <w:rFonts w:ascii="Source Sans Pro" w:hAnsi="Source Sans Pro" w:cs="Times New Roman"/>
          <w:b/>
          <w:bCs/>
          <w:color w:val="000000"/>
          <w:sz w:val="28"/>
          <w:szCs w:val="28"/>
          <w:lang w:val="fr-FR" w:eastAsia="fr-FR"/>
        </w:rPr>
        <w:t xml:space="preserve"> L'INDICE DE SÉCURITÉ HUMAINE POUR RELEVER LES DÉFIS DE LA SÉCURITÉ ET DU DÉVELOPPEMENT EN AFRIQUE DE L'OUEST.</w:t>
      </w:r>
    </w:p>
    <w:p w14:paraId="3CAAC7DB" w14:textId="77777777" w:rsidR="00D0755D" w:rsidRPr="00D0755D" w:rsidRDefault="00D0755D" w:rsidP="00D0755D">
      <w:pPr>
        <w:widowControl w:val="0"/>
        <w:autoSpaceDE w:val="0"/>
        <w:autoSpaceDN w:val="0"/>
        <w:spacing w:before="7"/>
        <w:jc w:val="both"/>
        <w:rPr>
          <w:rFonts w:ascii="Source Sans Pro" w:hAnsi="Source Sans Pro" w:cs="Times New Roman"/>
          <w:b/>
          <w:bCs/>
          <w:color w:val="000000"/>
          <w:sz w:val="12"/>
          <w:szCs w:val="12"/>
          <w:lang w:val="fr-FR" w:eastAsia="fr-FR"/>
        </w:rPr>
      </w:pPr>
    </w:p>
    <w:p w14:paraId="7EC1F2F3" w14:textId="1DB801B9" w:rsidR="00D0755D" w:rsidRPr="00D0755D" w:rsidRDefault="00D0755D" w:rsidP="00D0755D">
      <w:pPr>
        <w:widowControl w:val="0"/>
        <w:autoSpaceDE w:val="0"/>
        <w:autoSpaceDN w:val="0"/>
        <w:spacing w:before="7"/>
        <w:jc w:val="both"/>
        <w:rPr>
          <w:rFonts w:ascii="Source Sans Pro" w:hAnsi="Source Sans Pro" w:cs="Times New Roman"/>
          <w:color w:val="000000"/>
          <w:lang w:val="fr-FR" w:eastAsia="fr-FR"/>
        </w:rPr>
      </w:pPr>
      <w:r w:rsidRPr="00D0755D">
        <w:rPr>
          <w:rFonts w:ascii="Source Sans Pro" w:hAnsi="Source Sans Pro" w:cs="Times New Roman"/>
          <w:color w:val="000000"/>
          <w:lang w:val="fr-FR" w:eastAsia="fr-FR"/>
        </w:rPr>
        <w:t xml:space="preserve">La Direction de l'alerte précoce de la CEDEAO a </w:t>
      </w:r>
      <w:r w:rsidRPr="00D0755D">
        <w:rPr>
          <w:rFonts w:ascii="Source Sans Pro" w:hAnsi="Source Sans Pro" w:cs="Times New Roman"/>
          <w:color w:val="000000"/>
          <w:lang w:val="fr-FR" w:eastAsia="fr-FR"/>
        </w:rPr>
        <w:t>organis</w:t>
      </w:r>
      <w:r w:rsidRPr="00D0755D">
        <w:rPr>
          <w:rFonts w:ascii="Source Sans Pro" w:hAnsi="Source Sans Pro" w:cs="Times New Roman"/>
          <w:color w:val="000000"/>
          <w:lang w:val="fr-FR" w:eastAsia="fr-FR"/>
        </w:rPr>
        <w:t>é une session de travail le 29 novembre 2024 à Abuja, au Nigeria, pour examiner et approuver l'indice de sécurité humaine de la CEDEAO (</w:t>
      </w:r>
      <w:r w:rsidRPr="00D0755D">
        <w:rPr>
          <w:rFonts w:ascii="Source Sans Pro" w:hAnsi="Source Sans Pro" w:cs="Times New Roman"/>
          <w:color w:val="000000"/>
          <w:lang w:val="fr-FR" w:eastAsia="fr-FR"/>
        </w:rPr>
        <w:t>ISHC</w:t>
      </w:r>
      <w:r w:rsidRPr="00D0755D">
        <w:rPr>
          <w:rFonts w:ascii="Source Sans Pro" w:hAnsi="Source Sans Pro" w:cs="Times New Roman"/>
          <w:color w:val="000000"/>
          <w:lang w:val="fr-FR" w:eastAsia="fr-FR"/>
        </w:rPr>
        <w:t>). La session visait à affiner les indicateurs d</w:t>
      </w:r>
      <w:r w:rsidRPr="00D0755D">
        <w:rPr>
          <w:rFonts w:ascii="Source Sans Pro" w:hAnsi="Source Sans Pro" w:cs="Times New Roman"/>
          <w:color w:val="000000"/>
          <w:lang w:val="fr-FR" w:eastAsia="fr-FR"/>
        </w:rPr>
        <w:t>e l’</w:t>
      </w:r>
      <w:r w:rsidRPr="00D0755D">
        <w:rPr>
          <w:rFonts w:ascii="Source Sans Pro" w:hAnsi="Source Sans Pro" w:cs="Times New Roman"/>
          <w:color w:val="000000"/>
          <w:lang w:val="fr-FR" w:eastAsia="fr-FR"/>
        </w:rPr>
        <w:t>ISHC pour s'assurer qu'ils reflètent pleinement les réalités de la région de l'Afrique de l'Ouest.</w:t>
      </w:r>
    </w:p>
    <w:p w14:paraId="71923EAC" w14:textId="77777777" w:rsidR="00D0755D" w:rsidRPr="00D0755D" w:rsidRDefault="00D0755D" w:rsidP="00D0755D">
      <w:pPr>
        <w:widowControl w:val="0"/>
        <w:autoSpaceDE w:val="0"/>
        <w:autoSpaceDN w:val="0"/>
        <w:spacing w:before="7"/>
        <w:jc w:val="both"/>
        <w:rPr>
          <w:rFonts w:ascii="Source Sans Pro" w:hAnsi="Source Sans Pro" w:cs="Times New Roman"/>
          <w:color w:val="000000"/>
          <w:sz w:val="10"/>
          <w:szCs w:val="10"/>
          <w:lang w:val="fr-FR" w:eastAsia="fr-FR"/>
        </w:rPr>
      </w:pPr>
    </w:p>
    <w:p w14:paraId="127B49FE" w14:textId="4DDCCEB3" w:rsidR="00D0755D" w:rsidRPr="00D0755D" w:rsidRDefault="00D0755D" w:rsidP="00D0755D">
      <w:pPr>
        <w:widowControl w:val="0"/>
        <w:autoSpaceDE w:val="0"/>
        <w:autoSpaceDN w:val="0"/>
        <w:spacing w:before="7"/>
        <w:jc w:val="both"/>
        <w:rPr>
          <w:rFonts w:ascii="Source Sans Pro" w:hAnsi="Source Sans Pro" w:cs="Times New Roman"/>
          <w:color w:val="000000"/>
          <w:lang w:val="fr-FR" w:eastAsia="fr-FR"/>
        </w:rPr>
      </w:pPr>
      <w:r w:rsidRPr="00D0755D">
        <w:rPr>
          <w:rFonts w:ascii="Source Sans Pro" w:hAnsi="Source Sans Pro" w:cs="Times New Roman"/>
          <w:color w:val="000000"/>
          <w:lang w:val="fr-FR" w:eastAsia="fr-FR"/>
        </w:rPr>
        <w:t>L'ISHC est conçu pour surveiller l</w:t>
      </w:r>
      <w:r w:rsidRPr="00D0755D">
        <w:rPr>
          <w:rFonts w:ascii="Source Sans Pro" w:hAnsi="Source Sans Pro" w:cs="Times New Roman"/>
          <w:color w:val="000000"/>
          <w:lang w:val="fr-FR" w:eastAsia="fr-FR"/>
        </w:rPr>
        <w:t>a</w:t>
      </w:r>
      <w:r w:rsidRPr="00D0755D">
        <w:rPr>
          <w:rFonts w:ascii="Source Sans Pro" w:hAnsi="Source Sans Pro" w:cs="Times New Roman"/>
          <w:color w:val="000000"/>
          <w:lang w:val="fr-FR" w:eastAsia="fr-FR"/>
        </w:rPr>
        <w:t xml:space="preserve"> vulnérabilité et la résilience de la sécurité humaine dans cinq domaines thématiques : le crime et la criminalité, la santé, l'environnement, la sécurité et la gouvernance. Ses objectifs sont notamment de mesurer les niveaux de sécurité humaine, de soutenir l'élaboration de politiques, de renforcer la responsabilité des gouvernements et d'attirer les investissements et les partenariats.</w:t>
      </w:r>
    </w:p>
    <w:bookmarkEnd w:id="0"/>
    <w:p w14:paraId="1ED25258" w14:textId="77777777" w:rsidR="00D0755D" w:rsidRPr="00D0755D" w:rsidRDefault="00D0755D" w:rsidP="00D0755D">
      <w:pPr>
        <w:widowControl w:val="0"/>
        <w:autoSpaceDE w:val="0"/>
        <w:autoSpaceDN w:val="0"/>
        <w:spacing w:before="7"/>
        <w:jc w:val="both"/>
        <w:rPr>
          <w:rFonts w:ascii="Source Sans Pro" w:hAnsi="Source Sans Pro" w:cs="Times New Roman"/>
          <w:color w:val="000000"/>
          <w:sz w:val="10"/>
          <w:szCs w:val="10"/>
          <w:lang w:val="fr-FR" w:eastAsia="fr-FR"/>
        </w:rPr>
      </w:pPr>
    </w:p>
    <w:p w14:paraId="05ADAEDF" w14:textId="0E57B168" w:rsidR="00D0755D" w:rsidRPr="00D0755D" w:rsidRDefault="00D0755D" w:rsidP="00D0755D">
      <w:pPr>
        <w:widowControl w:val="0"/>
        <w:autoSpaceDE w:val="0"/>
        <w:autoSpaceDN w:val="0"/>
        <w:spacing w:before="7"/>
        <w:jc w:val="both"/>
        <w:rPr>
          <w:rFonts w:ascii="Source Sans Pro" w:hAnsi="Source Sans Pro" w:cs="Times New Roman"/>
          <w:color w:val="000000"/>
          <w:lang w:val="fr-FR" w:eastAsia="fr-FR"/>
        </w:rPr>
      </w:pPr>
      <w:r w:rsidRPr="00D0755D">
        <w:rPr>
          <w:rFonts w:ascii="Source Sans Pro" w:hAnsi="Source Sans Pro" w:cs="Times New Roman"/>
          <w:color w:val="000000"/>
          <w:lang w:val="fr-FR" w:eastAsia="fr-FR"/>
        </w:rPr>
        <w:t xml:space="preserve">Dans </w:t>
      </w:r>
      <w:r w:rsidRPr="00D0755D">
        <w:rPr>
          <w:rFonts w:ascii="Source Sans Pro" w:hAnsi="Source Sans Pro" w:cs="Times New Roman"/>
          <w:color w:val="000000"/>
          <w:lang w:val="fr-FR" w:eastAsia="fr-FR"/>
        </w:rPr>
        <w:t>son allocution d’ouverture de la séance</w:t>
      </w:r>
      <w:r w:rsidRPr="00D0755D">
        <w:rPr>
          <w:rFonts w:ascii="Source Sans Pro" w:hAnsi="Source Sans Pro" w:cs="Times New Roman"/>
          <w:color w:val="000000"/>
          <w:lang w:val="fr-FR" w:eastAsia="fr-FR"/>
        </w:rPr>
        <w:t xml:space="preserve">, la </w:t>
      </w:r>
      <w:r w:rsidRPr="00D0755D">
        <w:rPr>
          <w:rFonts w:ascii="Source Sans Pro" w:hAnsi="Source Sans Pro" w:cs="Times New Roman"/>
          <w:color w:val="000000"/>
          <w:lang w:val="fr-FR" w:eastAsia="fr-FR"/>
        </w:rPr>
        <w:t>D</w:t>
      </w:r>
      <w:r w:rsidRPr="00D0755D">
        <w:rPr>
          <w:rFonts w:ascii="Source Sans Pro" w:hAnsi="Source Sans Pro" w:cs="Times New Roman"/>
          <w:color w:val="000000"/>
          <w:lang w:val="fr-FR" w:eastAsia="fr-FR"/>
        </w:rPr>
        <w:t>irectrice par intérim de l'alerte précoce de la Commission de la CEDEAO, Dr Onyinge Nkechi ONWUKA, a souligné l'importance stratégique de l'ISHC, déclarant que « l'indice de sécurité humaine de la CEDEAO que nous développons n'est</w:t>
      </w:r>
      <w:r w:rsidRPr="00D0755D">
        <w:rPr>
          <w:rFonts w:ascii="Source Sans Pro" w:hAnsi="Source Sans Pro" w:cs="Times New Roman"/>
          <w:color w:val="000000"/>
          <w:lang w:val="fr-FR" w:eastAsia="fr-FR"/>
        </w:rPr>
        <w:t xml:space="preserve"> </w:t>
      </w:r>
      <w:r w:rsidRPr="00D0755D">
        <w:rPr>
          <w:rFonts w:ascii="Source Sans Pro" w:hAnsi="Source Sans Pro" w:cs="Times New Roman"/>
          <w:color w:val="000000"/>
          <w:lang w:val="fr-FR" w:eastAsia="fr-FR"/>
        </w:rPr>
        <w:t>pas seulement un outil, mais un cadre stratégique pour relever les défis multidimensionnels auxquels notre région est confrontée. Il s'agit d'une pierre angulaire pour l'action, qui associe des informations fondées sur des données à des interventions tangibles et efficaces ».</w:t>
      </w:r>
    </w:p>
    <w:p w14:paraId="7C2DA469" w14:textId="77777777" w:rsidR="00D0755D" w:rsidRPr="00D0755D" w:rsidRDefault="00D0755D" w:rsidP="00D0755D">
      <w:pPr>
        <w:widowControl w:val="0"/>
        <w:autoSpaceDE w:val="0"/>
        <w:autoSpaceDN w:val="0"/>
        <w:spacing w:before="7"/>
        <w:jc w:val="both"/>
        <w:rPr>
          <w:rFonts w:ascii="Source Sans Pro" w:hAnsi="Source Sans Pro" w:cs="Times New Roman"/>
          <w:color w:val="000000"/>
          <w:sz w:val="10"/>
          <w:szCs w:val="10"/>
          <w:lang w:val="fr-FR" w:eastAsia="fr-FR"/>
        </w:rPr>
      </w:pPr>
    </w:p>
    <w:p w14:paraId="69B26CD8" w14:textId="6DCF2C54" w:rsidR="00D0755D" w:rsidRPr="00D0755D" w:rsidRDefault="00D0755D" w:rsidP="00D0755D">
      <w:pPr>
        <w:widowControl w:val="0"/>
        <w:autoSpaceDE w:val="0"/>
        <w:autoSpaceDN w:val="0"/>
        <w:spacing w:before="7"/>
        <w:jc w:val="both"/>
        <w:rPr>
          <w:rFonts w:ascii="Source Sans Pro" w:hAnsi="Source Sans Pro" w:cs="Times New Roman"/>
          <w:color w:val="000000"/>
          <w:lang w:val="fr-FR" w:eastAsia="fr-FR"/>
        </w:rPr>
      </w:pPr>
      <w:r w:rsidRPr="00D0755D">
        <w:rPr>
          <w:rFonts w:ascii="Source Sans Pro" w:hAnsi="Source Sans Pro" w:cs="Times New Roman"/>
          <w:color w:val="000000"/>
          <w:lang w:val="fr-FR" w:eastAsia="fr-FR"/>
        </w:rPr>
        <w:t xml:space="preserve">Madame </w:t>
      </w:r>
      <w:r w:rsidRPr="00D0755D">
        <w:rPr>
          <w:rFonts w:ascii="Source Sans Pro" w:hAnsi="Source Sans Pro" w:cs="Times New Roman"/>
          <w:color w:val="000000"/>
          <w:lang w:val="fr-FR" w:eastAsia="fr-FR"/>
        </w:rPr>
        <w:t>O</w:t>
      </w:r>
      <w:r w:rsidRPr="00D0755D">
        <w:rPr>
          <w:rFonts w:ascii="Source Sans Pro" w:hAnsi="Source Sans Pro" w:cs="Times New Roman"/>
          <w:color w:val="000000"/>
          <w:lang w:val="fr-FR" w:eastAsia="fr-FR"/>
        </w:rPr>
        <w:t>NWUKA</w:t>
      </w:r>
      <w:r w:rsidRPr="00D0755D">
        <w:rPr>
          <w:rFonts w:ascii="Source Sans Pro" w:hAnsi="Source Sans Pro" w:cs="Times New Roman"/>
          <w:color w:val="000000"/>
          <w:lang w:val="fr-FR" w:eastAsia="fr-FR"/>
        </w:rPr>
        <w:t xml:space="preserve"> a noté qu'en s'appuyant sur l'</w:t>
      </w:r>
      <w:r w:rsidRPr="00D0755D">
        <w:rPr>
          <w:rFonts w:ascii="Source Sans Pro" w:hAnsi="Source Sans Pro" w:cs="Times New Roman"/>
          <w:color w:val="000000"/>
          <w:lang w:val="fr-FR" w:eastAsia="fr-FR"/>
        </w:rPr>
        <w:t>ISHC</w:t>
      </w:r>
      <w:r w:rsidRPr="00D0755D">
        <w:rPr>
          <w:rFonts w:ascii="Source Sans Pro" w:hAnsi="Source Sans Pro" w:cs="Times New Roman"/>
          <w:color w:val="000000"/>
          <w:lang w:val="fr-FR" w:eastAsia="fr-FR"/>
        </w:rPr>
        <w:t>, la CEDEAO vise à approfondir la compréhension des principaux moteurs de l'insécurité humaine, à améliorer sa capacité à évaluer les vulnérabilités et les mécanismes de résilience, et à soutenir les prévisions quantitatives et l'analyse prédictive afin de conduire une planification de la réponse efficace et bien formée.</w:t>
      </w:r>
    </w:p>
    <w:p w14:paraId="7D06890F" w14:textId="77777777" w:rsidR="00D0755D" w:rsidRPr="00D0755D" w:rsidRDefault="00D0755D" w:rsidP="00D0755D">
      <w:pPr>
        <w:widowControl w:val="0"/>
        <w:autoSpaceDE w:val="0"/>
        <w:autoSpaceDN w:val="0"/>
        <w:spacing w:before="7"/>
        <w:jc w:val="both"/>
        <w:rPr>
          <w:rFonts w:ascii="Source Sans Pro" w:hAnsi="Source Sans Pro" w:cs="Times New Roman"/>
          <w:color w:val="000000"/>
          <w:sz w:val="12"/>
          <w:szCs w:val="12"/>
          <w:lang w:val="fr-FR" w:eastAsia="fr-FR"/>
        </w:rPr>
      </w:pPr>
    </w:p>
    <w:p w14:paraId="7EC5088B" w14:textId="7DE10015" w:rsidR="00D0755D" w:rsidRPr="00D0755D" w:rsidRDefault="00D0755D" w:rsidP="00D0755D">
      <w:pPr>
        <w:widowControl w:val="0"/>
        <w:autoSpaceDE w:val="0"/>
        <w:autoSpaceDN w:val="0"/>
        <w:spacing w:before="7"/>
        <w:jc w:val="both"/>
        <w:rPr>
          <w:rFonts w:ascii="Source Sans Pro" w:hAnsi="Source Sans Pro" w:cs="Times New Roman"/>
          <w:color w:val="000000"/>
          <w:lang w:val="fr-FR" w:eastAsia="fr-FR"/>
        </w:rPr>
      </w:pPr>
      <w:r w:rsidRPr="00D0755D">
        <w:rPr>
          <w:rFonts w:ascii="Source Sans Pro" w:hAnsi="Source Sans Pro" w:cs="Times New Roman"/>
          <w:color w:val="000000"/>
          <w:lang w:val="fr-FR" w:eastAsia="fr-FR"/>
        </w:rPr>
        <w:t>Les discussions au cours de</w:t>
      </w:r>
      <w:r w:rsidRPr="00D0755D">
        <w:rPr>
          <w:rFonts w:ascii="Source Sans Pro" w:hAnsi="Source Sans Pro" w:cs="Times New Roman"/>
          <w:color w:val="000000"/>
          <w:lang w:val="fr-FR" w:eastAsia="fr-FR"/>
        </w:rPr>
        <w:t xml:space="preserve"> la</w:t>
      </w:r>
      <w:r w:rsidRPr="00D0755D">
        <w:rPr>
          <w:rFonts w:ascii="Source Sans Pro" w:hAnsi="Source Sans Pro" w:cs="Times New Roman"/>
          <w:color w:val="000000"/>
          <w:lang w:val="fr-FR" w:eastAsia="fr-FR"/>
        </w:rPr>
        <w:t xml:space="preserve"> session de travail se sont concentrées sur l'affinement des dimensions et sous-dimensions de l'indice afin de s'assurer qu'il capture de manière adéquate les défis auxquels sont confrontés les États membres de la CEDEAO. Les participants ont également souligné comment les indicateurs de l'</w:t>
      </w:r>
      <w:r w:rsidRPr="00D0755D">
        <w:rPr>
          <w:rFonts w:ascii="Source Sans Pro" w:hAnsi="Source Sans Pro" w:cs="Times New Roman"/>
          <w:color w:val="000000"/>
          <w:lang w:val="fr-FR" w:eastAsia="fr-FR"/>
        </w:rPr>
        <w:t>ISHC</w:t>
      </w:r>
      <w:r w:rsidRPr="00D0755D">
        <w:rPr>
          <w:rFonts w:ascii="Source Sans Pro" w:hAnsi="Source Sans Pro" w:cs="Times New Roman"/>
          <w:color w:val="000000"/>
          <w:lang w:val="fr-FR" w:eastAsia="fr-FR"/>
        </w:rPr>
        <w:t xml:space="preserve"> s'alignent sur le système ECOWARN et comment ils pourraient être utilisés pour une approche plus coordonnée des efforts d'alerte précoce dans la région. Ils ont également passé en revue le cadre existant afin de mieux servir les décideurs politiques, la société civile et les autres parties prenantes.</w:t>
      </w:r>
    </w:p>
    <w:p w14:paraId="67E5C5B0" w14:textId="77777777" w:rsidR="00D0755D" w:rsidRPr="00D0755D" w:rsidRDefault="00D0755D" w:rsidP="00D0755D">
      <w:pPr>
        <w:widowControl w:val="0"/>
        <w:autoSpaceDE w:val="0"/>
        <w:autoSpaceDN w:val="0"/>
        <w:spacing w:before="7"/>
        <w:jc w:val="both"/>
        <w:rPr>
          <w:rFonts w:ascii="Source Sans Pro" w:hAnsi="Source Sans Pro" w:cs="Times New Roman"/>
          <w:color w:val="000000"/>
          <w:sz w:val="12"/>
          <w:szCs w:val="12"/>
          <w:lang w:val="fr-FR" w:eastAsia="fr-FR"/>
        </w:rPr>
      </w:pPr>
    </w:p>
    <w:p w14:paraId="731A5DA0" w14:textId="553D8C11" w:rsidR="00D0755D" w:rsidRPr="00D0755D" w:rsidRDefault="00D0755D" w:rsidP="00D0755D">
      <w:pPr>
        <w:widowControl w:val="0"/>
        <w:autoSpaceDE w:val="0"/>
        <w:autoSpaceDN w:val="0"/>
        <w:spacing w:before="7"/>
        <w:jc w:val="both"/>
        <w:rPr>
          <w:rFonts w:ascii="Source Sans Pro" w:hAnsi="Source Sans Pro" w:cs="Times New Roman"/>
          <w:color w:val="000000"/>
          <w:lang w:val="fr-FR" w:eastAsia="fr-FR"/>
        </w:rPr>
      </w:pPr>
      <w:r w:rsidRPr="00D0755D">
        <w:rPr>
          <w:rFonts w:ascii="Source Sans Pro" w:hAnsi="Source Sans Pro" w:cs="Times New Roman"/>
          <w:color w:val="000000"/>
          <w:lang w:val="fr-FR" w:eastAsia="fr-FR"/>
        </w:rPr>
        <w:t>La session a rassemblé des représentants clés de diverses directions de la CEDEAO, y compris le maintien de la paix et la sécurité régionale, les affaires politiques, la planification stratégique, le suivi et l'évaluation, le développement humain et les affaires sociales, ainsi que des partenaires de l'UNOWAS et du WANEP.</w:t>
      </w:r>
    </w:p>
    <w:p w14:paraId="0E26E648" w14:textId="77777777" w:rsidR="00A33FB3" w:rsidRPr="00A33FB3" w:rsidRDefault="00A33FB3" w:rsidP="00A33FB3">
      <w:pPr>
        <w:ind w:right="20"/>
        <w:jc w:val="center"/>
        <w:rPr>
          <w:rFonts w:ascii="Source Sans Pro" w:hAnsi="Source Sans Pro" w:cs="Source Sans Pro"/>
          <w:b/>
          <w:bCs/>
          <w:color w:val="000000"/>
          <w:sz w:val="22"/>
          <w:szCs w:val="22"/>
          <w:lang w:val="fr-FR"/>
        </w:rPr>
      </w:pPr>
      <w:r w:rsidRPr="00A33FB3">
        <w:rPr>
          <w:rFonts w:ascii="Source Sans Pro" w:hAnsi="Source Sans Pro" w:cs="Source Sans Pro"/>
          <w:b/>
          <w:bCs/>
          <w:color w:val="000000"/>
          <w:sz w:val="22"/>
          <w:szCs w:val="22"/>
          <w:lang w:val="fr-FR"/>
        </w:rPr>
        <w:t>---------------FIN-----------------</w:t>
      </w:r>
    </w:p>
    <w:p w14:paraId="055D0CE9" w14:textId="77777777" w:rsidR="00A33FB3" w:rsidRPr="00A33FB3" w:rsidRDefault="00A33FB3" w:rsidP="00A33FB3">
      <w:pPr>
        <w:ind w:right="20"/>
        <w:jc w:val="center"/>
        <w:rPr>
          <w:rFonts w:ascii="Source Sans Pro" w:hAnsi="Source Sans Pro" w:cs="Source Sans Pro"/>
          <w:color w:val="222222"/>
          <w:sz w:val="20"/>
          <w:szCs w:val="20"/>
          <w:lang w:val="fr-FR"/>
        </w:rPr>
      </w:pPr>
      <w:r w:rsidRPr="00A33FB3">
        <w:rPr>
          <w:rFonts w:ascii="Source Sans Pro" w:hAnsi="Source Sans Pro" w:cs="Source Sans Pro"/>
          <w:color w:val="222222"/>
          <w:sz w:val="20"/>
          <w:szCs w:val="20"/>
          <w:lang w:val="fr-FR"/>
        </w:rPr>
        <w:t>Pour plus d’informations, veuillez contacter :</w:t>
      </w:r>
    </w:p>
    <w:p w14:paraId="5DC4F553" w14:textId="77777777" w:rsidR="00A33FB3" w:rsidRPr="00A33FB3" w:rsidRDefault="00A33FB3" w:rsidP="00A33FB3">
      <w:pPr>
        <w:ind w:right="20"/>
        <w:jc w:val="center"/>
        <w:rPr>
          <w:rFonts w:ascii="Source Sans Pro" w:hAnsi="Source Sans Pro" w:cs="Source Sans Pro"/>
          <w:color w:val="222222"/>
          <w:sz w:val="20"/>
          <w:szCs w:val="20"/>
          <w:lang w:val="fr-FR"/>
        </w:rPr>
      </w:pPr>
      <w:r w:rsidRPr="00A33FB3">
        <w:rPr>
          <w:rFonts w:ascii="Source Sans Pro" w:hAnsi="Source Sans Pro" w:cs="Source Sans Pro"/>
          <w:color w:val="222222"/>
          <w:sz w:val="20"/>
          <w:szCs w:val="20"/>
          <w:lang w:val="fr-FR"/>
        </w:rPr>
        <w:t>Direction de la Communication, Commission de la CEDEAO</w:t>
      </w:r>
    </w:p>
    <w:p w14:paraId="69622D2C" w14:textId="6E40FCD4" w:rsidR="008A3942" w:rsidRPr="00443FB2" w:rsidRDefault="00164754" w:rsidP="00D0755D">
      <w:pPr>
        <w:ind w:right="20"/>
        <w:jc w:val="center"/>
        <w:rPr>
          <w:rFonts w:ascii="Source Sans Pro" w:hAnsi="Source Sans Pro"/>
          <w:sz w:val="20"/>
          <w:szCs w:val="20"/>
        </w:rPr>
      </w:pPr>
      <w:r w:rsidRPr="00A33FB3">
        <w:rPr>
          <w:rFonts w:ascii="Source Sans Pro" w:hAnsi="Source Sans Pro" w:cs="Times New Roman"/>
          <w:sz w:val="20"/>
          <w:szCs w:val="20"/>
          <w:lang w:val="en-US"/>
        </w:rPr>
        <w:t>Twitter:</w:t>
      </w:r>
      <w:r w:rsidR="00A33FB3" w:rsidRPr="00A33FB3">
        <w:rPr>
          <w:rFonts w:ascii="Source Sans Pro" w:hAnsi="Source Sans Pro" w:cs="Times New Roman"/>
          <w:sz w:val="20"/>
          <w:szCs w:val="20"/>
          <w:lang w:val="en-US"/>
        </w:rPr>
        <w:t xml:space="preserve"> @ecowas_cedeao – </w:t>
      </w:r>
      <w:r w:rsidR="003C34A2" w:rsidRPr="00A33FB3">
        <w:rPr>
          <w:rFonts w:ascii="Source Sans Pro" w:hAnsi="Source Sans Pro" w:cs="Times New Roman"/>
          <w:sz w:val="20"/>
          <w:szCs w:val="20"/>
          <w:lang w:val="en-US"/>
        </w:rPr>
        <w:t>Facebook:</w:t>
      </w:r>
      <w:r w:rsidR="00A33FB3" w:rsidRPr="00A33FB3">
        <w:rPr>
          <w:rFonts w:ascii="Source Sans Pro" w:hAnsi="Source Sans Pro" w:cs="Times New Roman"/>
          <w:sz w:val="20"/>
          <w:szCs w:val="20"/>
          <w:lang w:val="en-US"/>
        </w:rPr>
        <w:t xml:space="preserve"> Ecowas-Cedeao</w:t>
      </w:r>
      <w:r w:rsidR="00D0755D">
        <w:rPr>
          <w:rFonts w:ascii="Source Sans Pro" w:hAnsi="Source Sans Pro" w:cs="Times New Roman"/>
          <w:sz w:val="20"/>
          <w:szCs w:val="20"/>
          <w:lang w:val="en-US"/>
        </w:rPr>
        <w:t xml:space="preserve"> - </w:t>
      </w:r>
      <w:hyperlink r:id="rId7" w:history="1">
        <w:r w:rsidR="00A33FB3" w:rsidRPr="00D0755D">
          <w:rPr>
            <w:rFonts w:ascii="Source Sans Pro" w:hAnsi="Source Sans Pro" w:cs="Times New Roman"/>
            <w:color w:val="0000FF"/>
            <w:sz w:val="20"/>
            <w:szCs w:val="20"/>
            <w:u w:val="single"/>
            <w:lang w:val="en-US"/>
          </w:rPr>
          <w:t>www.ecowas.int</w:t>
        </w:r>
      </w:hyperlink>
    </w:p>
    <w:sectPr w:rsidR="008A3942" w:rsidRPr="00443FB2" w:rsidSect="00A044A6">
      <w:headerReference w:type="even" r:id="rId8"/>
      <w:headerReference w:type="default" r:id="rId9"/>
      <w:footerReference w:type="default" r:id="rId10"/>
      <w:headerReference w:type="first" r:id="rId11"/>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924D" w14:textId="77777777" w:rsidR="00087AF7" w:rsidRDefault="00087AF7" w:rsidP="00754B08">
      <w:r>
        <w:separator/>
      </w:r>
    </w:p>
  </w:endnote>
  <w:endnote w:type="continuationSeparator" w:id="0">
    <w:p w14:paraId="3AEEABF6" w14:textId="77777777" w:rsidR="00087AF7" w:rsidRDefault="00087AF7"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47E1" w14:textId="77777777" w:rsidR="00763199" w:rsidRDefault="00763199">
    <w:pPr>
      <w:pStyle w:val="Pieddepage"/>
    </w:pPr>
    <w:r>
      <w:rPr>
        <w:noProof/>
        <w:lang w:eastAsia="de-DE"/>
      </w:rPr>
      <mc:AlternateContent>
        <mc:Choice Requires="wps">
          <w:drawing>
            <wp:anchor distT="0" distB="0" distL="114300" distR="114300" simplePos="0" relativeHeight="251656704" behindDoc="0" locked="0" layoutInCell="1" allowOverlap="1" wp14:anchorId="661F8690" wp14:editId="627A2D02">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65C4B2"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F8690" id="_x0000_t202" coordsize="21600,21600" o:spt="202" path="m,l,21600r21600,l21600,xe">
              <v:stroke joinstyle="miter"/>
              <v:path gradientshapeok="t" o:connecttype="rect"/>
            </v:shapetype>
            <v:shape id="Text Box 2" o:spid="_x0000_s1027" type="#_x0000_t202" style="position:absolute;margin-left:13.2pt;margin-top:7.7pt;width:450.7pt;height:1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" filled="f" stroked="f">
              <v:textbox inset="0,0,0,0">
                <w:txbxContent>
                  <w:p w14:paraId="5065C4B2"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46AC" w14:textId="77777777" w:rsidR="00087AF7" w:rsidRDefault="00087AF7" w:rsidP="00754B08">
      <w:r>
        <w:separator/>
      </w:r>
    </w:p>
  </w:footnote>
  <w:footnote w:type="continuationSeparator" w:id="0">
    <w:p w14:paraId="53BDDD83" w14:textId="77777777" w:rsidR="00087AF7" w:rsidRDefault="00087AF7"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2E67" w14:textId="77777777" w:rsidR="009F4AF8" w:rsidRDefault="00D0755D">
    <w:pPr>
      <w:pStyle w:val="En-tte"/>
    </w:pPr>
    <w:r>
      <w:rPr>
        <w:noProof/>
      </w:rPr>
      <w:pict w14:anchorId="600B6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7728;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5034" w14:textId="759A6C23" w:rsidR="009F4AF8" w:rsidRPr="00443FB2" w:rsidRDefault="005300AD" w:rsidP="009F4AF8">
    <w:pPr>
      <w:pStyle w:val="En-tte"/>
      <w:ind w:right="-1191" w:hanging="1191"/>
    </w:pPr>
    <w:r w:rsidRPr="005300AD">
      <w:rPr>
        <w:rFonts w:cs="Arial"/>
        <w:noProof/>
      </w:rPr>
      <mc:AlternateContent>
        <mc:Choice Requires="wps">
          <w:drawing>
            <wp:anchor distT="0" distB="0" distL="114300" distR="114300" simplePos="0" relativeHeight="251657728" behindDoc="0" locked="0" layoutInCell="1" allowOverlap="1" wp14:anchorId="24084A02" wp14:editId="34FBE531">
              <wp:simplePos x="0" y="0"/>
              <wp:positionH relativeFrom="margin">
                <wp:align>center</wp:align>
              </wp:positionH>
              <wp:positionV relativeFrom="topMargin">
                <wp:posOffset>1967230</wp:posOffset>
              </wp:positionV>
              <wp:extent cx="5688965" cy="224790"/>
              <wp:effectExtent l="0" t="0" r="6985" b="3810"/>
              <wp:wrapNone/>
              <wp:docPr id="187718796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965" cy="224790"/>
                      </a:xfrm>
                      <a:prstGeom prst="rect">
                        <a:avLst/>
                      </a:prstGeom>
                      <a:noFill/>
                      <a:ln>
                        <a:noFill/>
                      </a:ln>
                      <a:effectLst/>
                    </wps:spPr>
                    <wps:txbx>
                      <w:txbxContent>
                        <w:p w14:paraId="6D0BEBDE" w14:textId="20A3824C" w:rsidR="005300AD" w:rsidRPr="00EF5603" w:rsidRDefault="00A33FB3" w:rsidP="005300AD">
                          <w:pPr>
                            <w:spacing w:line="320" w:lineRule="exact"/>
                            <w:rPr>
                              <w:rFonts w:ascii="Arial" w:hAnsi="Arial"/>
                              <w:b/>
                              <w:color w:val="FFFFFF"/>
                              <w:sz w:val="20"/>
                              <w:szCs w:val="20"/>
                            </w:rPr>
                          </w:pPr>
                          <w:r>
                            <w:rPr>
                              <w:rFonts w:ascii="Arial" w:hAnsi="Arial"/>
                              <w:b/>
                              <w:bCs/>
                              <w:color w:val="FFFFFF"/>
                              <w:spacing w:val="2"/>
                              <w:sz w:val="20"/>
                              <w:szCs w:val="20"/>
                            </w:rPr>
                            <w:t>COMMUNIQUE DE PRESSE</w:t>
                          </w:r>
                          <w:r w:rsidR="005300AD">
                            <w:rPr>
                              <w:rFonts w:ascii="Arial" w:hAnsi="Arial"/>
                              <w:b/>
                              <w:bCs/>
                              <w:color w:val="FFFFFF"/>
                              <w:spacing w:val="2"/>
                              <w:sz w:val="20"/>
                              <w:szCs w:val="20"/>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84A02" id="_x0000_t202" coordsize="21600,21600" o:spt="202" path="m,l,21600r21600,l21600,xe">
              <v:stroke joinstyle="miter"/>
              <v:path gradientshapeok="t" o:connecttype="rect"/>
            </v:shapetype>
            <v:shape id="Zone de texte 1" o:spid="_x0000_s1026" type="#_x0000_t202" style="position:absolute;margin-left:0;margin-top:154.9pt;width:447.95pt;height:17.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" filled="f" stroked="f">
              <v:textbox inset="0,0,0,0">
                <w:txbxContent>
                  <w:p w14:paraId="6D0BEBDE" w14:textId="20A3824C" w:rsidR="005300AD" w:rsidRPr="00EF5603" w:rsidRDefault="00A33FB3" w:rsidP="005300AD">
                    <w:pPr>
                      <w:spacing w:line="320" w:lineRule="exact"/>
                      <w:rPr>
                        <w:rFonts w:ascii="Arial" w:hAnsi="Arial"/>
                        <w:b/>
                        <w:color w:val="FFFFFF"/>
                        <w:sz w:val="20"/>
                        <w:szCs w:val="20"/>
                      </w:rPr>
                    </w:pPr>
                    <w:r>
                      <w:rPr>
                        <w:rFonts w:ascii="Arial" w:hAnsi="Arial"/>
                        <w:b/>
                        <w:bCs/>
                        <w:color w:val="FFFFFF"/>
                        <w:spacing w:val="2"/>
                        <w:sz w:val="20"/>
                        <w:szCs w:val="20"/>
                      </w:rPr>
                      <w:t>COMMUNIQUE DE PRESSE</w:t>
                    </w:r>
                    <w:r w:rsidR="005300AD">
                      <w:rPr>
                        <w:rFonts w:ascii="Arial" w:hAnsi="Arial"/>
                        <w:b/>
                        <w:bCs/>
                        <w:color w:val="FFFFFF"/>
                        <w:spacing w:val="2"/>
                        <w:sz w:val="20"/>
                        <w:szCs w:val="20"/>
                      </w:rPr>
                      <w:tab/>
                    </w:r>
                  </w:p>
                </w:txbxContent>
              </v:textbox>
              <w10:wrap anchorx="margin" anchory="margin"/>
            </v:shape>
          </w:pict>
        </mc:Fallback>
      </mc:AlternateContent>
    </w:r>
    <w:r w:rsidR="00F725F6" w:rsidRPr="00443FB2">
      <w:rPr>
        <w:noProof/>
      </w:rPr>
      <w:drawing>
        <wp:inline distT="0" distB="0" distL="0" distR="0" wp14:anchorId="31443FB2" wp14:editId="224C59D8">
          <wp:extent cx="7542643" cy="2192400"/>
          <wp:effectExtent l="0" t="0" r="127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357EAE9E" w14:textId="0F341394" w:rsidR="00F725F6" w:rsidRPr="00443FB2" w:rsidRDefault="00D0755D" w:rsidP="008A3942">
    <w:pPr>
      <w:ind w:left="284" w:right="20"/>
      <w:rPr>
        <w:rFonts w:ascii="Source Sans Pro" w:hAnsi="Source Sans Pro"/>
        <w:b/>
        <w:bCs/>
        <w:color w:val="008C44"/>
      </w:rPr>
    </w:pPr>
    <w:r>
      <w:rPr>
        <w:rFonts w:ascii="Source Sans Pro" w:hAnsi="Source Sans Pro"/>
        <w:b/>
        <w:bCs/>
        <w:color w:val="008C44"/>
        <w:sz w:val="22"/>
        <w:szCs w:val="22"/>
      </w:rPr>
      <w:t>Abuja</w:t>
    </w:r>
    <w:r w:rsidR="0077058F" w:rsidRPr="0077058F">
      <w:rPr>
        <w:rFonts w:ascii="Source Sans Pro" w:hAnsi="Source Sans Pro"/>
        <w:b/>
        <w:bCs/>
        <w:color w:val="008C44"/>
        <w:sz w:val="22"/>
        <w:szCs w:val="22"/>
      </w:rPr>
      <w:t xml:space="preserve">, </w:t>
    </w:r>
    <w:r w:rsidR="009A4A19">
      <w:rPr>
        <w:rFonts w:ascii="Source Sans Pro" w:hAnsi="Source Sans Pro"/>
        <w:b/>
        <w:bCs/>
        <w:color w:val="008C44"/>
        <w:sz w:val="22"/>
        <w:szCs w:val="22"/>
      </w:rPr>
      <w:t>Nigéria</w:t>
    </w:r>
    <w:r w:rsidR="00A33FB3">
      <w:rPr>
        <w:rFonts w:ascii="Source Sans Pro" w:hAnsi="Source Sans Pro"/>
        <w:b/>
        <w:bCs/>
        <w:color w:val="008C44"/>
        <w:sz w:val="22"/>
        <w:szCs w:val="22"/>
      </w:rPr>
      <w:t xml:space="preserve">, </w:t>
    </w:r>
    <w:r w:rsidR="00253121">
      <w:rPr>
        <w:rFonts w:ascii="Source Sans Pro" w:hAnsi="Source Sans Pro"/>
        <w:b/>
        <w:bCs/>
        <w:color w:val="008C44"/>
        <w:sz w:val="22"/>
        <w:szCs w:val="22"/>
      </w:rPr>
      <w:t>2</w:t>
    </w:r>
    <w:r w:rsidR="009A4A19">
      <w:rPr>
        <w:rFonts w:ascii="Source Sans Pro" w:hAnsi="Source Sans Pro"/>
        <w:b/>
        <w:bCs/>
        <w:color w:val="008C44"/>
        <w:sz w:val="22"/>
        <w:szCs w:val="22"/>
      </w:rPr>
      <w:t>9</w:t>
    </w:r>
    <w:r w:rsidR="00A33FB3">
      <w:rPr>
        <w:rFonts w:ascii="Source Sans Pro" w:hAnsi="Source Sans Pro"/>
        <w:b/>
        <w:bCs/>
        <w:color w:val="008C44"/>
        <w:sz w:val="22"/>
        <w:szCs w:val="22"/>
      </w:rPr>
      <w:t xml:space="preserve"> Novembre </w:t>
    </w:r>
    <w:r w:rsidR="0077058F" w:rsidRPr="0077058F">
      <w:rPr>
        <w:rFonts w:ascii="Source Sans Pro" w:hAnsi="Source Sans Pro"/>
        <w:b/>
        <w:bCs/>
        <w:color w:val="008C44"/>
        <w:sz w:val="22"/>
        <w:szCs w:val="22"/>
      </w:rPr>
      <w:t>2024</w:t>
    </w:r>
    <w:r w:rsidR="00A33FB3">
      <w:rPr>
        <w:rFonts w:ascii="Source Sans Pro" w:hAnsi="Source Sans Pro"/>
        <w:b/>
        <w:bCs/>
        <w:color w:val="008C44"/>
        <w:sz w:val="22"/>
        <w:szCs w:val="22"/>
      </w:rPr>
      <w:t xml:space="preserve">                                                       </w:t>
    </w:r>
    <w:r w:rsidR="00F725F6" w:rsidRPr="00443FB2">
      <w:rPr>
        <w:rFonts w:ascii="Source Sans Pro" w:hAnsi="Source Sans Pro"/>
        <w:b/>
        <w:bCs/>
        <w:color w:val="008C44"/>
      </w:rPr>
      <w:tab/>
    </w:r>
    <w:r w:rsidR="00A33FB3">
      <w:rPr>
        <w:rFonts w:ascii="Source Sans Pro" w:hAnsi="Source Sans Pro"/>
        <w:b/>
        <w:bCs/>
        <w:color w:val="008C44"/>
      </w:rPr>
      <w:t xml:space="preserve">           </w:t>
    </w:r>
    <w:r w:rsidR="00F725F6" w:rsidRPr="00443FB2">
      <w:rPr>
        <w:rFonts w:ascii="Source Sans Pro" w:hAnsi="Source Sans Pro"/>
        <w:b/>
        <w:bCs/>
        <w:color w:val="008C44"/>
        <w:sz w:val="32"/>
        <w:szCs w:val="32"/>
      </w:rPr>
      <w:tab/>
    </w:r>
    <w:r w:rsidR="00F725F6" w:rsidRPr="00443FB2">
      <w:rPr>
        <w:rFonts w:ascii="Source Sans Pro" w:hAnsi="Source Sans Pro"/>
        <w:b/>
        <w:bCs/>
        <w:color w:val="008C44"/>
        <w:sz w:val="28"/>
        <w:szCs w:val="28"/>
      </w:rPr>
      <w:t xml:space="preserve">   </w:t>
    </w:r>
    <w:r w:rsidR="008A3942" w:rsidRPr="00443FB2">
      <w:rPr>
        <w:rFonts w:ascii="Source Sans Pro" w:hAnsi="Source Sans Pro"/>
        <w:b/>
        <w:bCs/>
        <w:color w:val="008C44"/>
        <w:sz w:val="22"/>
        <w:szCs w:val="22"/>
      </w:rPr>
      <w:t>P</w:t>
    </w:r>
    <w:r w:rsidR="00A33FB3">
      <w:rPr>
        <w:rFonts w:ascii="Source Sans Pro" w:hAnsi="Source Sans Pro"/>
        <w:b/>
        <w:bCs/>
        <w:color w:val="008C44"/>
        <w:sz w:val="22"/>
        <w:szCs w:val="22"/>
      </w:rPr>
      <w:t xml:space="preserve">age </w:t>
    </w:r>
    <w:r w:rsidR="008A3942" w:rsidRPr="00443FB2">
      <w:rPr>
        <w:rFonts w:ascii="Source Sans Pro" w:hAnsi="Source Sans Pro"/>
        <w:b/>
        <w:bCs/>
        <w:color w:val="008C44"/>
        <w:sz w:val="22"/>
        <w:szCs w:val="22"/>
      </w:rPr>
      <w:fldChar w:fldCharType="begin"/>
    </w:r>
    <w:r w:rsidR="008A3942" w:rsidRPr="00443FB2">
      <w:rPr>
        <w:rFonts w:ascii="Source Sans Pro" w:hAnsi="Source Sans Pro"/>
        <w:b/>
        <w:bCs/>
        <w:color w:val="008C44"/>
        <w:sz w:val="22"/>
        <w:szCs w:val="22"/>
      </w:rPr>
      <w:instrText>PAGE  \* Arabic  \* MERGEFORMAT</w:instrText>
    </w:r>
    <w:r w:rsidR="008A3942" w:rsidRPr="00443FB2">
      <w:rPr>
        <w:rFonts w:ascii="Source Sans Pro" w:hAnsi="Source Sans Pro"/>
        <w:b/>
        <w:bCs/>
        <w:color w:val="008C44"/>
        <w:sz w:val="22"/>
        <w:szCs w:val="22"/>
      </w:rPr>
      <w:fldChar w:fldCharType="separate"/>
    </w:r>
    <w:r w:rsidR="008A3942" w:rsidRPr="00443FB2">
      <w:rPr>
        <w:rFonts w:ascii="Source Sans Pro" w:hAnsi="Source Sans Pro"/>
        <w:b/>
        <w:bCs/>
        <w:color w:val="008C44"/>
        <w:sz w:val="22"/>
        <w:szCs w:val="22"/>
      </w:rPr>
      <w:t>1</w:t>
    </w:r>
    <w:r w:rsidR="008A3942" w:rsidRPr="00443FB2">
      <w:rPr>
        <w:rFonts w:ascii="Source Sans Pro" w:hAnsi="Source Sans Pro"/>
        <w:b/>
        <w:bCs/>
        <w:color w:val="008C44"/>
        <w:sz w:val="22"/>
        <w:szCs w:val="22"/>
      </w:rPr>
      <w:fldChar w:fldCharType="end"/>
    </w:r>
    <w:r w:rsidR="008A3942" w:rsidRPr="00443FB2">
      <w:rPr>
        <w:rFonts w:ascii="Source Sans Pro" w:hAnsi="Source Sans Pro"/>
        <w:b/>
        <w:bCs/>
        <w:color w:val="008C44"/>
        <w:sz w:val="22"/>
        <w:szCs w:val="22"/>
      </w:rPr>
      <w:t xml:space="preserve"> / </w:t>
    </w:r>
    <w:r w:rsidR="008A3942" w:rsidRPr="00443FB2">
      <w:rPr>
        <w:rFonts w:ascii="Source Sans Pro" w:hAnsi="Source Sans Pro"/>
        <w:b/>
        <w:bCs/>
        <w:color w:val="008C44"/>
        <w:sz w:val="22"/>
        <w:szCs w:val="22"/>
      </w:rPr>
      <w:fldChar w:fldCharType="begin"/>
    </w:r>
    <w:r w:rsidR="008A3942" w:rsidRPr="00443FB2">
      <w:rPr>
        <w:rFonts w:ascii="Source Sans Pro" w:hAnsi="Source Sans Pro"/>
        <w:b/>
        <w:bCs/>
        <w:color w:val="008C44"/>
        <w:sz w:val="22"/>
        <w:szCs w:val="22"/>
      </w:rPr>
      <w:instrText>NUMPAGES  \* Arabic  \* MERGEFORMAT</w:instrText>
    </w:r>
    <w:r w:rsidR="008A3942" w:rsidRPr="00443FB2">
      <w:rPr>
        <w:rFonts w:ascii="Source Sans Pro" w:hAnsi="Source Sans Pro"/>
        <w:b/>
        <w:bCs/>
        <w:color w:val="008C44"/>
        <w:sz w:val="22"/>
        <w:szCs w:val="22"/>
      </w:rPr>
      <w:fldChar w:fldCharType="separate"/>
    </w:r>
    <w:r w:rsidR="008A3942" w:rsidRPr="00443FB2">
      <w:rPr>
        <w:rFonts w:ascii="Source Sans Pro" w:hAnsi="Source Sans Pro"/>
        <w:b/>
        <w:bCs/>
        <w:color w:val="008C44"/>
        <w:sz w:val="22"/>
        <w:szCs w:val="22"/>
      </w:rPr>
      <w:t>2</w:t>
    </w:r>
    <w:r w:rsidR="008A3942" w:rsidRPr="00443FB2">
      <w:rPr>
        <w:rFonts w:ascii="Source Sans Pro" w:hAnsi="Source Sans Pro"/>
        <w:b/>
        <w:bCs/>
        <w:color w:val="008C44"/>
        <w:sz w:val="22"/>
        <w:szCs w:val="22"/>
      </w:rPr>
      <w:fldChar w:fldCharType="end"/>
    </w:r>
  </w:p>
  <w:p w14:paraId="57FDB4C5" w14:textId="75F2D47C" w:rsidR="009F4AF8" w:rsidRPr="00443FB2" w:rsidRDefault="00A33FB3" w:rsidP="00763199">
    <w:pPr>
      <w:ind w:left="284" w:right="304"/>
      <w:rPr>
        <w:rFonts w:ascii="Source Sans Pro" w:hAnsi="Source Sans Pro"/>
        <w:color w:val="000000"/>
        <w:sz w:val="22"/>
        <w:szCs w:val="22"/>
      </w:rPr>
    </w:pPr>
    <w:r>
      <w:rPr>
        <w:rFonts w:ascii="Source Sans Pro" w:hAnsi="Source Sans Pro"/>
        <w:color w:val="000000"/>
        <w:sz w:val="22"/>
        <w:szCs w:val="22"/>
      </w:rPr>
      <w:t>Direction de la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ABA3" w14:textId="77777777" w:rsidR="00BD21E5" w:rsidRDefault="00BD21E5" w:rsidP="00BD21E5">
    <w:pPr>
      <w:pStyle w:val="En-tte"/>
      <w:ind w:hanging="1191"/>
    </w:pPr>
    <w:r>
      <w:rPr>
        <w:noProof/>
      </w:rPr>
      <w:drawing>
        <wp:inline distT="0" distB="0" distL="0" distR="0" wp14:anchorId="041D98BF" wp14:editId="7E7983E4">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drawingGridHorizontalSpacing w:val="2381"/>
  <w:drawingGridVerticalSpacing w:val="1667"/>
  <w:doNotUseMarginsForDrawingGridOrigin/>
  <w:drawingGridHorizontalOrigin w:val="1134"/>
  <w:drawingGridVerticalOrigin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C5"/>
    <w:rsid w:val="00003569"/>
    <w:rsid w:val="00005747"/>
    <w:rsid w:val="00005C87"/>
    <w:rsid w:val="000235CC"/>
    <w:rsid w:val="00023A90"/>
    <w:rsid w:val="000319DA"/>
    <w:rsid w:val="00035BE1"/>
    <w:rsid w:val="00040F77"/>
    <w:rsid w:val="00047EBA"/>
    <w:rsid w:val="000524E5"/>
    <w:rsid w:val="00064B48"/>
    <w:rsid w:val="000701EF"/>
    <w:rsid w:val="000711BA"/>
    <w:rsid w:val="00077528"/>
    <w:rsid w:val="000802E2"/>
    <w:rsid w:val="00081A36"/>
    <w:rsid w:val="00082D64"/>
    <w:rsid w:val="00087AF7"/>
    <w:rsid w:val="00090034"/>
    <w:rsid w:val="000943D3"/>
    <w:rsid w:val="00095BA9"/>
    <w:rsid w:val="000A4FBC"/>
    <w:rsid w:val="000C0057"/>
    <w:rsid w:val="000C1903"/>
    <w:rsid w:val="000F688D"/>
    <w:rsid w:val="0010780A"/>
    <w:rsid w:val="00110DF1"/>
    <w:rsid w:val="00113AC7"/>
    <w:rsid w:val="00113B86"/>
    <w:rsid w:val="001161BB"/>
    <w:rsid w:val="0013225E"/>
    <w:rsid w:val="00134E3A"/>
    <w:rsid w:val="00160E73"/>
    <w:rsid w:val="00164754"/>
    <w:rsid w:val="00177C22"/>
    <w:rsid w:val="00182806"/>
    <w:rsid w:val="001918B1"/>
    <w:rsid w:val="001934C9"/>
    <w:rsid w:val="001937B1"/>
    <w:rsid w:val="0019469B"/>
    <w:rsid w:val="00194E41"/>
    <w:rsid w:val="001A42CD"/>
    <w:rsid w:val="001B1CDA"/>
    <w:rsid w:val="001B62EB"/>
    <w:rsid w:val="001C158A"/>
    <w:rsid w:val="001D06F6"/>
    <w:rsid w:val="001D170C"/>
    <w:rsid w:val="001D5077"/>
    <w:rsid w:val="001D615B"/>
    <w:rsid w:val="001E249C"/>
    <w:rsid w:val="001E4898"/>
    <w:rsid w:val="001E79AD"/>
    <w:rsid w:val="002025FC"/>
    <w:rsid w:val="0020322B"/>
    <w:rsid w:val="00210A88"/>
    <w:rsid w:val="00224D74"/>
    <w:rsid w:val="00225666"/>
    <w:rsid w:val="002358E9"/>
    <w:rsid w:val="00244CBA"/>
    <w:rsid w:val="00253121"/>
    <w:rsid w:val="00265CA7"/>
    <w:rsid w:val="0027407D"/>
    <w:rsid w:val="00284F3F"/>
    <w:rsid w:val="002854F5"/>
    <w:rsid w:val="002943F9"/>
    <w:rsid w:val="00296047"/>
    <w:rsid w:val="002A5351"/>
    <w:rsid w:val="002A67B0"/>
    <w:rsid w:val="002B2257"/>
    <w:rsid w:val="002E1DEB"/>
    <w:rsid w:val="002E2052"/>
    <w:rsid w:val="002F173B"/>
    <w:rsid w:val="00310310"/>
    <w:rsid w:val="0032018A"/>
    <w:rsid w:val="003377C3"/>
    <w:rsid w:val="00344BAE"/>
    <w:rsid w:val="003471DC"/>
    <w:rsid w:val="0035267F"/>
    <w:rsid w:val="0035461F"/>
    <w:rsid w:val="00356741"/>
    <w:rsid w:val="00357075"/>
    <w:rsid w:val="00357604"/>
    <w:rsid w:val="00380DBA"/>
    <w:rsid w:val="003934B9"/>
    <w:rsid w:val="003A2CBA"/>
    <w:rsid w:val="003A6571"/>
    <w:rsid w:val="003C1024"/>
    <w:rsid w:val="003C33F4"/>
    <w:rsid w:val="003C34A2"/>
    <w:rsid w:val="003D7FE4"/>
    <w:rsid w:val="003E3B39"/>
    <w:rsid w:val="003E4288"/>
    <w:rsid w:val="003E749E"/>
    <w:rsid w:val="00406805"/>
    <w:rsid w:val="00414FF5"/>
    <w:rsid w:val="00415F33"/>
    <w:rsid w:val="00443A0A"/>
    <w:rsid w:val="00443FB2"/>
    <w:rsid w:val="0045728F"/>
    <w:rsid w:val="00467713"/>
    <w:rsid w:val="00475EAB"/>
    <w:rsid w:val="00482E5D"/>
    <w:rsid w:val="00483418"/>
    <w:rsid w:val="004A5C0D"/>
    <w:rsid w:val="004C1DC9"/>
    <w:rsid w:val="004C695F"/>
    <w:rsid w:val="004D5D33"/>
    <w:rsid w:val="004D7E15"/>
    <w:rsid w:val="004E006E"/>
    <w:rsid w:val="004E28B7"/>
    <w:rsid w:val="004E547A"/>
    <w:rsid w:val="004F3A34"/>
    <w:rsid w:val="004F7492"/>
    <w:rsid w:val="00503198"/>
    <w:rsid w:val="00506F9E"/>
    <w:rsid w:val="00507779"/>
    <w:rsid w:val="00507C2A"/>
    <w:rsid w:val="005154B9"/>
    <w:rsid w:val="005222CC"/>
    <w:rsid w:val="005300AD"/>
    <w:rsid w:val="005427B8"/>
    <w:rsid w:val="00551CEC"/>
    <w:rsid w:val="00552508"/>
    <w:rsid w:val="0055484D"/>
    <w:rsid w:val="005552A0"/>
    <w:rsid w:val="00556853"/>
    <w:rsid w:val="005617DD"/>
    <w:rsid w:val="00580E39"/>
    <w:rsid w:val="0059340A"/>
    <w:rsid w:val="005966BB"/>
    <w:rsid w:val="005B0BFE"/>
    <w:rsid w:val="005B5077"/>
    <w:rsid w:val="005D07DA"/>
    <w:rsid w:val="005E2244"/>
    <w:rsid w:val="005F13F1"/>
    <w:rsid w:val="005F7262"/>
    <w:rsid w:val="00605632"/>
    <w:rsid w:val="00606BA9"/>
    <w:rsid w:val="00607DB8"/>
    <w:rsid w:val="006228E4"/>
    <w:rsid w:val="00623F3C"/>
    <w:rsid w:val="0063166B"/>
    <w:rsid w:val="00631DAF"/>
    <w:rsid w:val="0065497F"/>
    <w:rsid w:val="00665B21"/>
    <w:rsid w:val="00675128"/>
    <w:rsid w:val="00685922"/>
    <w:rsid w:val="0069141F"/>
    <w:rsid w:val="006A0EE3"/>
    <w:rsid w:val="006C34A8"/>
    <w:rsid w:val="006D19E7"/>
    <w:rsid w:val="006D49D8"/>
    <w:rsid w:val="006D58B6"/>
    <w:rsid w:val="006E3CA3"/>
    <w:rsid w:val="006E60CF"/>
    <w:rsid w:val="006F0947"/>
    <w:rsid w:val="006F15A7"/>
    <w:rsid w:val="006F16E1"/>
    <w:rsid w:val="00722129"/>
    <w:rsid w:val="0072384B"/>
    <w:rsid w:val="00726062"/>
    <w:rsid w:val="00737864"/>
    <w:rsid w:val="00737BBF"/>
    <w:rsid w:val="00741663"/>
    <w:rsid w:val="00754B08"/>
    <w:rsid w:val="00763199"/>
    <w:rsid w:val="007652B6"/>
    <w:rsid w:val="0077058F"/>
    <w:rsid w:val="00792F46"/>
    <w:rsid w:val="00794F33"/>
    <w:rsid w:val="007A0266"/>
    <w:rsid w:val="007A72F3"/>
    <w:rsid w:val="007B0190"/>
    <w:rsid w:val="007B0A9D"/>
    <w:rsid w:val="007B6730"/>
    <w:rsid w:val="007C43E4"/>
    <w:rsid w:val="007D7EA2"/>
    <w:rsid w:val="007E43FD"/>
    <w:rsid w:val="00801EAB"/>
    <w:rsid w:val="00803703"/>
    <w:rsid w:val="008050F7"/>
    <w:rsid w:val="00817B41"/>
    <w:rsid w:val="00821889"/>
    <w:rsid w:val="008305F9"/>
    <w:rsid w:val="00830700"/>
    <w:rsid w:val="0083247A"/>
    <w:rsid w:val="008518D5"/>
    <w:rsid w:val="00862D10"/>
    <w:rsid w:val="00872FED"/>
    <w:rsid w:val="00874D09"/>
    <w:rsid w:val="00876041"/>
    <w:rsid w:val="008A175E"/>
    <w:rsid w:val="008A3942"/>
    <w:rsid w:val="008A5C80"/>
    <w:rsid w:val="008B30A8"/>
    <w:rsid w:val="008D2AE9"/>
    <w:rsid w:val="008E0DC6"/>
    <w:rsid w:val="008E1BF5"/>
    <w:rsid w:val="00904B31"/>
    <w:rsid w:val="00914DE6"/>
    <w:rsid w:val="00930843"/>
    <w:rsid w:val="00935E1B"/>
    <w:rsid w:val="009501D2"/>
    <w:rsid w:val="009601E9"/>
    <w:rsid w:val="00963BA6"/>
    <w:rsid w:val="00967AB4"/>
    <w:rsid w:val="009707BB"/>
    <w:rsid w:val="00973C5F"/>
    <w:rsid w:val="0098759B"/>
    <w:rsid w:val="00990798"/>
    <w:rsid w:val="00994F07"/>
    <w:rsid w:val="00997219"/>
    <w:rsid w:val="009A4A19"/>
    <w:rsid w:val="009C528E"/>
    <w:rsid w:val="009C6EFE"/>
    <w:rsid w:val="009D1225"/>
    <w:rsid w:val="009E02F2"/>
    <w:rsid w:val="009E333C"/>
    <w:rsid w:val="009E5F08"/>
    <w:rsid w:val="009F4AF8"/>
    <w:rsid w:val="009F794F"/>
    <w:rsid w:val="009F7E65"/>
    <w:rsid w:val="00A01CCC"/>
    <w:rsid w:val="00A044A6"/>
    <w:rsid w:val="00A07A6F"/>
    <w:rsid w:val="00A1163B"/>
    <w:rsid w:val="00A21CE7"/>
    <w:rsid w:val="00A25A02"/>
    <w:rsid w:val="00A33FB3"/>
    <w:rsid w:val="00A410C5"/>
    <w:rsid w:val="00A4318D"/>
    <w:rsid w:val="00A611BD"/>
    <w:rsid w:val="00A612B4"/>
    <w:rsid w:val="00A62B3C"/>
    <w:rsid w:val="00A66258"/>
    <w:rsid w:val="00A725AA"/>
    <w:rsid w:val="00A75DA7"/>
    <w:rsid w:val="00A777C9"/>
    <w:rsid w:val="00A77C92"/>
    <w:rsid w:val="00A937D2"/>
    <w:rsid w:val="00A97BF8"/>
    <w:rsid w:val="00AA26F2"/>
    <w:rsid w:val="00AA6E6F"/>
    <w:rsid w:val="00AB0B41"/>
    <w:rsid w:val="00AB3B30"/>
    <w:rsid w:val="00AB3D58"/>
    <w:rsid w:val="00AB58E4"/>
    <w:rsid w:val="00AD596B"/>
    <w:rsid w:val="00AE2EA6"/>
    <w:rsid w:val="00AE361E"/>
    <w:rsid w:val="00B02F82"/>
    <w:rsid w:val="00B06C67"/>
    <w:rsid w:val="00B10D3D"/>
    <w:rsid w:val="00B342B1"/>
    <w:rsid w:val="00B3753B"/>
    <w:rsid w:val="00B47016"/>
    <w:rsid w:val="00B61F36"/>
    <w:rsid w:val="00B779C7"/>
    <w:rsid w:val="00B8456B"/>
    <w:rsid w:val="00B8519F"/>
    <w:rsid w:val="00BA4176"/>
    <w:rsid w:val="00BA5CFE"/>
    <w:rsid w:val="00BA659D"/>
    <w:rsid w:val="00BB3E92"/>
    <w:rsid w:val="00BB783B"/>
    <w:rsid w:val="00BC0FF0"/>
    <w:rsid w:val="00BC127E"/>
    <w:rsid w:val="00BC2EE6"/>
    <w:rsid w:val="00BD21E5"/>
    <w:rsid w:val="00BD6FE5"/>
    <w:rsid w:val="00BF0007"/>
    <w:rsid w:val="00C04A0D"/>
    <w:rsid w:val="00C172D4"/>
    <w:rsid w:val="00C20D35"/>
    <w:rsid w:val="00C31424"/>
    <w:rsid w:val="00C31B22"/>
    <w:rsid w:val="00C35858"/>
    <w:rsid w:val="00C368BB"/>
    <w:rsid w:val="00C44753"/>
    <w:rsid w:val="00C679FD"/>
    <w:rsid w:val="00C67F2F"/>
    <w:rsid w:val="00C8276B"/>
    <w:rsid w:val="00CA014F"/>
    <w:rsid w:val="00CA08C2"/>
    <w:rsid w:val="00CB32DA"/>
    <w:rsid w:val="00CB7844"/>
    <w:rsid w:val="00CE4A63"/>
    <w:rsid w:val="00CE5E89"/>
    <w:rsid w:val="00D03D1E"/>
    <w:rsid w:val="00D0755D"/>
    <w:rsid w:val="00D12914"/>
    <w:rsid w:val="00D2555D"/>
    <w:rsid w:val="00D30E9C"/>
    <w:rsid w:val="00D34849"/>
    <w:rsid w:val="00D52288"/>
    <w:rsid w:val="00D626AB"/>
    <w:rsid w:val="00D8162D"/>
    <w:rsid w:val="00D86A8E"/>
    <w:rsid w:val="00D87432"/>
    <w:rsid w:val="00D93F90"/>
    <w:rsid w:val="00D95C45"/>
    <w:rsid w:val="00DA6639"/>
    <w:rsid w:val="00DB426E"/>
    <w:rsid w:val="00DC5305"/>
    <w:rsid w:val="00DE2A08"/>
    <w:rsid w:val="00DF739B"/>
    <w:rsid w:val="00DF7EFA"/>
    <w:rsid w:val="00E1298B"/>
    <w:rsid w:val="00E1381D"/>
    <w:rsid w:val="00E304CD"/>
    <w:rsid w:val="00E4561C"/>
    <w:rsid w:val="00E54988"/>
    <w:rsid w:val="00E5529A"/>
    <w:rsid w:val="00E5599B"/>
    <w:rsid w:val="00E822A5"/>
    <w:rsid w:val="00E84311"/>
    <w:rsid w:val="00E90A1E"/>
    <w:rsid w:val="00E9684F"/>
    <w:rsid w:val="00EA3F57"/>
    <w:rsid w:val="00EB1D90"/>
    <w:rsid w:val="00EB55CD"/>
    <w:rsid w:val="00EE5FE4"/>
    <w:rsid w:val="00EF2965"/>
    <w:rsid w:val="00EF3D19"/>
    <w:rsid w:val="00EF5603"/>
    <w:rsid w:val="00F0597C"/>
    <w:rsid w:val="00F2086C"/>
    <w:rsid w:val="00F350E7"/>
    <w:rsid w:val="00F5287F"/>
    <w:rsid w:val="00F6349A"/>
    <w:rsid w:val="00F63745"/>
    <w:rsid w:val="00F71A87"/>
    <w:rsid w:val="00F725F6"/>
    <w:rsid w:val="00F75ABA"/>
    <w:rsid w:val="00F80C8B"/>
    <w:rsid w:val="00F817AA"/>
    <w:rsid w:val="00F90A4C"/>
    <w:rsid w:val="00F94BBF"/>
    <w:rsid w:val="00FA22B9"/>
    <w:rsid w:val="00FA2769"/>
    <w:rsid w:val="00FA672E"/>
    <w:rsid w:val="00FB3971"/>
    <w:rsid w:val="00FB56E7"/>
    <w:rsid w:val="00FC16DB"/>
    <w:rsid w:val="00FC1D12"/>
    <w:rsid w:val="00FC23F7"/>
    <w:rsid w:val="00FC41ED"/>
    <w:rsid w:val="00FC789E"/>
    <w:rsid w:val="00FD0F99"/>
    <w:rsid w:val="00FD1A33"/>
    <w:rsid w:val="00FD4C50"/>
    <w:rsid w:val="00FE000A"/>
    <w:rsid w:val="00FE5DD3"/>
    <w:rsid w:val="00FE5F3E"/>
    <w:rsid w:val="00FE7CB1"/>
    <w:rsid w:val="00FF3E6B"/>
    <w:rsid w:val="00FF6BB7"/>
    <w:rsid w:val="00FF6F9E"/>
    <w:rsid w:val="00FF734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2B63E"/>
  <w14:defaultImageDpi w14:val="300"/>
  <w15:docId w15:val="{FA7AE88F-D24A-48A2-A5D9-9196D86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rPr>
      <w:lang w:val="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50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unhideWhenUsed/>
    <w:rsid w:val="00754B08"/>
    <w:pPr>
      <w:tabs>
        <w:tab w:val="center" w:pos="4153"/>
        <w:tab w:val="right" w:pos="8306"/>
      </w:tabs>
    </w:pPr>
  </w:style>
  <w:style w:type="character" w:customStyle="1" w:styleId="En-tteCar">
    <w:name w:val="En-tête Car"/>
    <w:basedOn w:val="Policepardfaut"/>
    <w:link w:val="En-tte"/>
    <w:uiPriority w:val="99"/>
    <w:rsid w:val="00754B08"/>
  </w:style>
  <w:style w:type="paragraph" w:styleId="Pieddepage">
    <w:name w:val="footer"/>
    <w:basedOn w:val="Normal"/>
    <w:link w:val="PieddepageCar"/>
    <w:uiPriority w:val="99"/>
    <w:unhideWhenUsed/>
    <w:rsid w:val="00754B08"/>
    <w:pPr>
      <w:tabs>
        <w:tab w:val="center" w:pos="4153"/>
        <w:tab w:val="right" w:pos="8306"/>
      </w:tabs>
    </w:pPr>
  </w:style>
  <w:style w:type="character" w:customStyle="1" w:styleId="PieddepageCar">
    <w:name w:val="Pied de page Car"/>
    <w:basedOn w:val="Policepardfaut"/>
    <w:link w:val="Pieddepage"/>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Lienhypertexte">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styleId="Mentionnonrsolue">
    <w:name w:val="Unresolved Mention"/>
    <w:basedOn w:val="Policepardfau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NormalWeb">
    <w:name w:val="Normal (Web)"/>
    <w:basedOn w:val="Normal"/>
    <w:uiPriority w:val="99"/>
    <w:unhideWhenUsed/>
    <w:rsid w:val="00F6349A"/>
    <w:pPr>
      <w:spacing w:before="100" w:beforeAutospacing="1" w:after="100" w:afterAutospacing="1"/>
    </w:pPr>
    <w:rPr>
      <w:rFonts w:ascii="Times New Roman" w:eastAsia="Times New Roman" w:hAnsi="Times New Roman" w:cs="Times New Roman"/>
    </w:rPr>
  </w:style>
  <w:style w:type="paragraph" w:styleId="PrformatHTML">
    <w:name w:val="HTML Preformatted"/>
    <w:basedOn w:val="Normal"/>
    <w:link w:val="PrformatHTMLCar"/>
    <w:rsid w:val="00F63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GB"/>
    </w:rPr>
  </w:style>
  <w:style w:type="character" w:customStyle="1" w:styleId="PrformatHTMLCar">
    <w:name w:val="Préformaté HTML Car"/>
    <w:basedOn w:val="Policepardfaut"/>
    <w:link w:val="PrformatHTML"/>
    <w:rsid w:val="00F6349A"/>
    <w:rPr>
      <w:rFonts w:ascii="Courier New" w:eastAsia="Times New Roman" w:hAnsi="Courier New" w:cs="Courier New"/>
      <w:lang w:val="en-GB"/>
    </w:rPr>
  </w:style>
  <w:style w:type="character" w:styleId="lev">
    <w:name w:val="Strong"/>
    <w:basedOn w:val="Policepardfaut"/>
    <w:uiPriority w:val="22"/>
    <w:qFormat/>
    <w:rsid w:val="00803703"/>
    <w:rPr>
      <w:b/>
      <w:bCs/>
    </w:rPr>
  </w:style>
  <w:style w:type="paragraph" w:styleId="Corpsdetexte">
    <w:name w:val="Body Text"/>
    <w:basedOn w:val="Normal"/>
    <w:link w:val="CorpsdetexteCar"/>
    <w:uiPriority w:val="1"/>
    <w:qFormat/>
    <w:rsid w:val="00A33FB3"/>
    <w:pPr>
      <w:widowControl w:val="0"/>
      <w:autoSpaceDE w:val="0"/>
      <w:autoSpaceDN w:val="0"/>
    </w:pPr>
    <w:rPr>
      <w:rFonts w:ascii="Tahoma" w:eastAsia="Times New Roman" w:hAnsi="Tahoma" w:cs="Tahoma"/>
      <w:sz w:val="21"/>
      <w:szCs w:val="21"/>
      <w:lang w:val="fr-FR"/>
    </w:rPr>
  </w:style>
  <w:style w:type="character" w:customStyle="1" w:styleId="CorpsdetexteCar">
    <w:name w:val="Corps de texte Car"/>
    <w:basedOn w:val="Policepardfaut"/>
    <w:link w:val="Corpsdetexte"/>
    <w:uiPriority w:val="1"/>
    <w:rsid w:val="00A33FB3"/>
    <w:rPr>
      <w:rFonts w:ascii="Tahoma" w:eastAsia="Times New Roman" w:hAnsi="Tahoma" w:cs="Tahoma"/>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22839">
      <w:bodyDiv w:val="1"/>
      <w:marLeft w:val="0"/>
      <w:marRight w:val="0"/>
      <w:marTop w:val="0"/>
      <w:marBottom w:val="0"/>
      <w:divBdr>
        <w:top w:val="none" w:sz="0" w:space="0" w:color="auto"/>
        <w:left w:val="none" w:sz="0" w:space="0" w:color="auto"/>
        <w:bottom w:val="none" w:sz="0" w:space="0" w:color="auto"/>
        <w:right w:val="none" w:sz="0" w:space="0" w:color="auto"/>
      </w:divBdr>
    </w:div>
    <w:div w:id="131309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2F9E-D90B-4E67-BC64-90F85AD0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ECOWAS_Newsletter_201125.dotx</Template>
  <TotalTime>1</TotalTime>
  <Pages>1</Pages>
  <Words>448</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UserNA3768</dc:creator>
  <cp:lastModifiedBy>Joel AHOFODJI</cp:lastModifiedBy>
  <cp:revision>2</cp:revision>
  <cp:lastPrinted>2020-11-25T20:25:00Z</cp:lastPrinted>
  <dcterms:created xsi:type="dcterms:W3CDTF">2024-11-30T10:35:00Z</dcterms:created>
  <dcterms:modified xsi:type="dcterms:W3CDTF">2024-11-30T10:35:00Z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0bb6a08f04861a1bd284f0e49ba1177016038f703e651c2809ccf3af4cba72bc</vt:lpwstr>
  </property>
</Properties>
</file>